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E8" w:rsidRPr="003A21F5" w:rsidRDefault="003A21F5" w:rsidP="003A21F5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3A21F5">
        <w:rPr>
          <w:rFonts w:ascii="Times New Roman" w:hAnsi="Times New Roman" w:cs="Times New Roman"/>
          <w:b/>
          <w:sz w:val="24"/>
        </w:rPr>
        <w:t>Карта учебно-методической обеспеченности дисциплины</w:t>
      </w:r>
    </w:p>
    <w:tbl>
      <w:tblPr>
        <w:tblStyle w:val="a3"/>
        <w:tblpPr w:leftFromText="180" w:rightFromText="180" w:vertAnchor="text" w:horzAnchor="margin" w:tblpY="158"/>
        <w:tblW w:w="10053" w:type="dxa"/>
        <w:tblLook w:val="04A0" w:firstRow="1" w:lastRow="0" w:firstColumn="1" w:lastColumn="0" w:noHBand="0" w:noVBand="1"/>
      </w:tblPr>
      <w:tblGrid>
        <w:gridCol w:w="445"/>
        <w:gridCol w:w="2017"/>
        <w:gridCol w:w="1739"/>
        <w:gridCol w:w="757"/>
        <w:gridCol w:w="1094"/>
        <w:gridCol w:w="2150"/>
        <w:gridCol w:w="757"/>
        <w:gridCol w:w="1094"/>
      </w:tblGrid>
      <w:tr w:rsidR="001A7F0D" w:rsidRPr="00B85626" w:rsidTr="001A7F0D">
        <w:trPr>
          <w:trHeight w:val="430"/>
        </w:trPr>
        <w:tc>
          <w:tcPr>
            <w:tcW w:w="445" w:type="dxa"/>
            <w:vMerge w:val="restart"/>
            <w:noWrap/>
            <w:hideMark/>
          </w:tcPr>
          <w:p w:rsidR="003A21F5" w:rsidRPr="00B85626" w:rsidRDefault="003A21F5" w:rsidP="00B856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62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17" w:type="dxa"/>
            <w:vMerge w:val="restart"/>
          </w:tcPr>
          <w:p w:rsidR="003A21F5" w:rsidRPr="00B85626" w:rsidRDefault="0069570F" w:rsidP="00B856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Название дисциплины</w:t>
            </w:r>
          </w:p>
        </w:tc>
        <w:tc>
          <w:tcPr>
            <w:tcW w:w="3590" w:type="dxa"/>
            <w:gridSpan w:val="3"/>
          </w:tcPr>
          <w:p w:rsidR="003A21F5" w:rsidRPr="00B85626" w:rsidRDefault="0069570F" w:rsidP="00B856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Основная литература</w:t>
            </w:r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001" w:type="dxa"/>
            <w:gridSpan w:val="3"/>
            <w:noWrap/>
            <w:hideMark/>
          </w:tcPr>
          <w:p w:rsidR="003A21F5" w:rsidRPr="00B85626" w:rsidRDefault="0069570F" w:rsidP="00B856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Дополнительная литература</w:t>
            </w:r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7F0D" w:rsidRPr="00B85626" w:rsidTr="001A7F0D">
        <w:trPr>
          <w:trHeight w:val="1541"/>
        </w:trPr>
        <w:tc>
          <w:tcPr>
            <w:tcW w:w="445" w:type="dxa"/>
            <w:vMerge/>
            <w:noWrap/>
            <w:hideMark/>
          </w:tcPr>
          <w:p w:rsidR="003A21F5" w:rsidRPr="00B85626" w:rsidRDefault="003A21F5" w:rsidP="00B85626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17" w:type="dxa"/>
            <w:vMerge/>
          </w:tcPr>
          <w:p w:rsidR="003A21F5" w:rsidRPr="00B85626" w:rsidRDefault="003A21F5" w:rsidP="00B85626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39" w:type="dxa"/>
          </w:tcPr>
          <w:p w:rsidR="003A21F5" w:rsidRPr="00B85626" w:rsidRDefault="0069570F" w:rsidP="00B85626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Название и авторы</w:t>
            </w:r>
          </w:p>
        </w:tc>
        <w:tc>
          <w:tcPr>
            <w:tcW w:w="757" w:type="dxa"/>
            <w:hideMark/>
          </w:tcPr>
          <w:p w:rsidR="003A21F5" w:rsidRPr="00B85626" w:rsidRDefault="0069570F" w:rsidP="00B856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Кол-во</w:t>
            </w:r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(экз.) </w:t>
            </w:r>
            <w:proofErr w:type="spellStart"/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1094" w:type="dxa"/>
            <w:hideMark/>
          </w:tcPr>
          <w:p w:rsidR="003A21F5" w:rsidRPr="00B85626" w:rsidRDefault="0069570F" w:rsidP="00B856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Кол-во</w:t>
            </w:r>
            <w:r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(экз.). Кафедра</w:t>
            </w:r>
          </w:p>
        </w:tc>
        <w:tc>
          <w:tcPr>
            <w:tcW w:w="2150" w:type="dxa"/>
            <w:noWrap/>
            <w:hideMark/>
          </w:tcPr>
          <w:p w:rsidR="003A21F5" w:rsidRPr="00B85626" w:rsidRDefault="0069570F" w:rsidP="00B856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Название и авторы</w:t>
            </w:r>
          </w:p>
        </w:tc>
        <w:tc>
          <w:tcPr>
            <w:tcW w:w="757" w:type="dxa"/>
            <w:hideMark/>
          </w:tcPr>
          <w:p w:rsidR="003A21F5" w:rsidRPr="00B85626" w:rsidRDefault="0069570F" w:rsidP="00B856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Кол-во</w:t>
            </w:r>
            <w:r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(экз.) </w:t>
            </w:r>
            <w:proofErr w:type="spellStart"/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1094" w:type="dxa"/>
            <w:hideMark/>
          </w:tcPr>
          <w:p w:rsidR="003A21F5" w:rsidRPr="00B85626" w:rsidRDefault="0069570F" w:rsidP="00B8562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Кол-во</w:t>
            </w:r>
            <w:r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21F5" w:rsidRPr="00B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(экз.). Кафедра</w:t>
            </w:r>
          </w:p>
        </w:tc>
      </w:tr>
      <w:tr w:rsidR="001A7F0D" w:rsidRPr="00B85626" w:rsidTr="001A7F0D">
        <w:trPr>
          <w:trHeight w:val="1541"/>
        </w:trPr>
        <w:tc>
          <w:tcPr>
            <w:tcW w:w="445" w:type="dxa"/>
            <w:vMerge w:val="restart"/>
            <w:noWrap/>
          </w:tcPr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017" w:type="dxa"/>
            <w:vMerge w:val="restart"/>
          </w:tcPr>
          <w:p w:rsidR="00620253" w:rsidRPr="00B85626" w:rsidRDefault="0069570F" w:rsidP="00620253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Современные аспекты хроматографии</w:t>
            </w:r>
          </w:p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39" w:type="dxa"/>
          </w:tcPr>
          <w:p w:rsidR="001A7F0D" w:rsidRPr="001A7F0D" w:rsidRDefault="001A7F0D" w:rsidP="001A7F0D">
            <w:pPr>
              <w:widowControl w:val="0"/>
              <w:ind w:right="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kk-KZ" w:eastAsia="ru-RU"/>
              </w:rPr>
            </w:pPr>
            <w:r w:rsidRPr="001A7F0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kk-KZ" w:eastAsia="ru-RU"/>
              </w:rPr>
              <w:t>McNair H.M. Basic Gas Chromatography, 2nd edition. – Wiley-Interscience, 2009.</w:t>
            </w:r>
          </w:p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7" w:type="dxa"/>
          </w:tcPr>
          <w:p w:rsidR="00620253" w:rsidRPr="00B85626" w:rsidRDefault="001A7F0D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4" w:type="dxa"/>
          </w:tcPr>
          <w:p w:rsidR="00620253" w:rsidRPr="00B85626" w:rsidRDefault="001A7F0D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50" w:type="dxa"/>
            <w:noWrap/>
          </w:tcPr>
          <w:p w:rsidR="001A7F0D" w:rsidRPr="001A7F0D" w:rsidRDefault="001A7F0D" w:rsidP="001A7F0D">
            <w:pPr>
              <w:widowControl w:val="0"/>
              <w:tabs>
                <w:tab w:val="left" w:pos="224"/>
              </w:tabs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F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Пругло Г.Ф., Федоров О.В., Смит Р.А. Хроматографические методы анализа. Учебное пособие. ВШТЭ СПбГУПТД.-Санкт-Петербург, 2017.-85с. </w:t>
            </w:r>
          </w:p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7" w:type="dxa"/>
          </w:tcPr>
          <w:p w:rsidR="00620253" w:rsidRPr="00B85626" w:rsidRDefault="001A7F0D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94" w:type="dxa"/>
          </w:tcPr>
          <w:p w:rsidR="00620253" w:rsidRPr="00B85626" w:rsidRDefault="00620253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1A7F0D" w:rsidRPr="00B85626" w:rsidTr="001A7F0D">
        <w:trPr>
          <w:trHeight w:val="1541"/>
        </w:trPr>
        <w:tc>
          <w:tcPr>
            <w:tcW w:w="445" w:type="dxa"/>
            <w:vMerge/>
            <w:noWrap/>
          </w:tcPr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017" w:type="dxa"/>
            <w:vMerge/>
          </w:tcPr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739" w:type="dxa"/>
          </w:tcPr>
          <w:p w:rsidR="001A7F0D" w:rsidRPr="001A7F0D" w:rsidRDefault="001A7F0D" w:rsidP="001A7F0D">
            <w:pPr>
              <w:widowControl w:val="0"/>
              <w:ind w:right="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1A7F0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Guardia M., Armenta S. (Eds.) Green Analytical Chemistry: Theory and Practice. – Comprehensive Analytical Chemistry, Vol. 57. – Oxford: Elsevier, 2011.</w:t>
            </w:r>
          </w:p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7" w:type="dxa"/>
          </w:tcPr>
          <w:p w:rsidR="00620253" w:rsidRPr="00B85626" w:rsidRDefault="001A7F0D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4" w:type="dxa"/>
          </w:tcPr>
          <w:p w:rsidR="00620253" w:rsidRPr="00B85626" w:rsidRDefault="001A7F0D" w:rsidP="001A7F0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50" w:type="dxa"/>
            <w:noWrap/>
          </w:tcPr>
          <w:p w:rsidR="001A7F0D" w:rsidRPr="001A7F0D" w:rsidRDefault="001A7F0D" w:rsidP="001A7F0D">
            <w:pPr>
              <w:widowControl w:val="0"/>
              <w:tabs>
                <w:tab w:val="left" w:pos="224"/>
              </w:tabs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F0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Амелин В.Г. Хроматографические методы анализа. ВГУ, -Владимир,Изд-во ВГУ, 2008. -72 с.</w:t>
            </w:r>
          </w:p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7" w:type="dxa"/>
          </w:tcPr>
          <w:p w:rsidR="00620253" w:rsidRPr="00B85626" w:rsidRDefault="001A7F0D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094" w:type="dxa"/>
          </w:tcPr>
          <w:p w:rsidR="00620253" w:rsidRPr="00B85626" w:rsidRDefault="001A7F0D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1A7F0D" w:rsidRPr="00B85626" w:rsidTr="001A7F0D">
        <w:trPr>
          <w:trHeight w:val="1541"/>
        </w:trPr>
        <w:tc>
          <w:tcPr>
            <w:tcW w:w="445" w:type="dxa"/>
            <w:vMerge/>
            <w:noWrap/>
          </w:tcPr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017" w:type="dxa"/>
            <w:vMerge/>
          </w:tcPr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739" w:type="dxa"/>
          </w:tcPr>
          <w:p w:rsidR="001A7F0D" w:rsidRPr="001A7F0D" w:rsidRDefault="001A7F0D" w:rsidP="001A7F0D">
            <w:pPr>
              <w:widowControl w:val="0"/>
              <w:ind w:right="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1A7F0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L. Ramos (Editor) Comprehensive Two-Dimensional Gas Chromatography. - Comprehensive Analytical Chemistry, Vol. 55. - Amsterdam: Elsevier, 2009.</w:t>
            </w:r>
          </w:p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7" w:type="dxa"/>
          </w:tcPr>
          <w:p w:rsidR="00620253" w:rsidRPr="00B85626" w:rsidRDefault="001A7F0D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4" w:type="dxa"/>
          </w:tcPr>
          <w:p w:rsidR="00620253" w:rsidRPr="00B85626" w:rsidRDefault="001A7F0D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50" w:type="dxa"/>
            <w:noWrap/>
          </w:tcPr>
          <w:p w:rsidR="001A7F0D" w:rsidRPr="001A7F0D" w:rsidRDefault="001A7F0D" w:rsidP="001A7F0D">
            <w:pPr>
              <w:widowControl w:val="0"/>
              <w:tabs>
                <w:tab w:val="left" w:pos="224"/>
              </w:tabs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F0D">
              <w:rPr>
                <w:rFonts w:ascii="Times New Roman" w:eastAsia="Times New Roman" w:hAnsi="Times New Roman" w:cs="Times New Roman" w:hint="eastAsia"/>
                <w:snapToGrid w:val="0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1A7F0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1A7F0D">
              <w:rPr>
                <w:rFonts w:ascii="Times New Roman" w:eastAsia="Times New Roman" w:hAnsi="Times New Roman" w:cs="Times New Roman" w:hint="eastAsia"/>
                <w:snapToGrid w:val="0"/>
                <w:sz w:val="20"/>
                <w:szCs w:val="20"/>
                <w:lang w:eastAsia="ru-RU"/>
              </w:rPr>
              <w:t>Е</w:t>
            </w:r>
            <w:r w:rsidRPr="001A7F0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Pr="001A7F0D">
              <w:rPr>
                <w:rFonts w:ascii="Times New Roman" w:eastAsia="Times New Roman" w:hAnsi="Times New Roman" w:cs="Times New Roman" w:hint="eastAsia"/>
                <w:snapToGrid w:val="0"/>
                <w:sz w:val="20"/>
                <w:szCs w:val="20"/>
                <w:lang w:eastAsia="ru-RU"/>
              </w:rPr>
              <w:t>Н</w:t>
            </w:r>
            <w:r w:rsidRPr="001A7F0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., </w:t>
            </w:r>
            <w:r w:rsidRPr="001A7F0D">
              <w:rPr>
                <w:rFonts w:ascii="Times New Roman" w:eastAsia="Times New Roman" w:hAnsi="Times New Roman" w:cs="Times New Roman" w:hint="eastAsia"/>
                <w:snapToGrid w:val="0"/>
                <w:sz w:val="20"/>
                <w:szCs w:val="20"/>
                <w:lang w:eastAsia="ru-RU"/>
              </w:rPr>
              <w:t>Пирогов</w:t>
            </w:r>
            <w:r w:rsidRPr="001A7F0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1A7F0D">
              <w:rPr>
                <w:rFonts w:ascii="Times New Roman" w:eastAsia="Times New Roman" w:hAnsi="Times New Roman" w:cs="Times New Roman" w:hint="eastAsia"/>
                <w:snapToGrid w:val="0"/>
                <w:sz w:val="20"/>
                <w:szCs w:val="20"/>
                <w:lang w:eastAsia="ru-RU"/>
              </w:rPr>
              <w:t>А</w:t>
            </w:r>
            <w:r w:rsidRPr="001A7F0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Pr="001A7F0D">
              <w:rPr>
                <w:rFonts w:ascii="Times New Roman" w:eastAsia="Times New Roman" w:hAnsi="Times New Roman" w:cs="Times New Roman" w:hint="eastAsia"/>
                <w:snapToGrid w:val="0"/>
                <w:sz w:val="20"/>
                <w:szCs w:val="20"/>
                <w:lang w:eastAsia="ru-RU"/>
              </w:rPr>
              <w:t>В</w:t>
            </w:r>
            <w:r w:rsidRPr="001A7F0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Pr="001A7F0D">
              <w:rPr>
                <w:rFonts w:ascii="Times New Roman" w:eastAsia="Times New Roman" w:hAnsi="Times New Roman" w:cs="Times New Roman" w:hint="eastAsia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7F0D">
              <w:rPr>
                <w:rFonts w:ascii="Times New Roman" w:eastAsia="Times New Roman" w:hAnsi="Times New Roman" w:cs="Times New Roman" w:hint="eastAsia"/>
                <w:snapToGrid w:val="0"/>
                <w:sz w:val="20"/>
                <w:szCs w:val="20"/>
                <w:lang w:eastAsia="ru-RU"/>
              </w:rPr>
              <w:t>Хроматографические</w:t>
            </w:r>
            <w:proofErr w:type="spellEnd"/>
            <w:r w:rsidRPr="001A7F0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методы анализа. Методическое пособие для специального курса. Москва, 2007. -109с. </w:t>
            </w:r>
            <w:r w:rsidRPr="001A7F0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Московский</w:t>
            </w:r>
            <w:r w:rsidRPr="001A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F0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Государственный</w:t>
            </w:r>
            <w:r w:rsidRPr="001A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F0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Университет</w:t>
            </w:r>
            <w:r w:rsidRPr="001A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F0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имени</w:t>
            </w:r>
            <w:r w:rsidRPr="001A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F0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М</w:t>
            </w:r>
            <w:r w:rsidRPr="001A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A7F0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1A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A7F0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Ломоносова</w:t>
            </w:r>
            <w:r w:rsidRPr="001A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20253" w:rsidRPr="00B85626" w:rsidRDefault="00620253" w:rsidP="00620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7" w:type="dxa"/>
          </w:tcPr>
          <w:p w:rsidR="00620253" w:rsidRPr="00B85626" w:rsidRDefault="001A7F0D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094" w:type="dxa"/>
          </w:tcPr>
          <w:p w:rsidR="00620253" w:rsidRPr="00B85626" w:rsidRDefault="001A7F0D" w:rsidP="006202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bookmarkStart w:id="0" w:name="_GoBack"/>
        <w:bookmarkEnd w:id="0"/>
      </w:tr>
    </w:tbl>
    <w:p w:rsidR="003A21F5" w:rsidRPr="001A7F0D" w:rsidRDefault="003A21F5"/>
    <w:sectPr w:rsidR="003A21F5" w:rsidRPr="001A7F0D" w:rsidSect="003A21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523D3"/>
    <w:multiLevelType w:val="hybridMultilevel"/>
    <w:tmpl w:val="A32AEE2E"/>
    <w:lvl w:ilvl="0" w:tplc="8F96FB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AA7380E"/>
    <w:multiLevelType w:val="hybridMultilevel"/>
    <w:tmpl w:val="A32AEE2E"/>
    <w:lvl w:ilvl="0" w:tplc="8F96FB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F5"/>
    <w:rsid w:val="000C62D4"/>
    <w:rsid w:val="001A7F0D"/>
    <w:rsid w:val="00397BE8"/>
    <w:rsid w:val="003A21F5"/>
    <w:rsid w:val="00592B67"/>
    <w:rsid w:val="00602484"/>
    <w:rsid w:val="00620253"/>
    <w:rsid w:val="0069570F"/>
    <w:rsid w:val="009C54A6"/>
    <w:rsid w:val="00B85626"/>
    <w:rsid w:val="00C352A6"/>
    <w:rsid w:val="00D22936"/>
    <w:rsid w:val="00E0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3C0CF-D0A3-4BF3-A775-D94827E4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A21F5"/>
    <w:pPr>
      <w:spacing w:after="0" w:line="240" w:lineRule="auto"/>
      <w:ind w:left="113"/>
      <w:jc w:val="both"/>
    </w:pPr>
    <w:rPr>
      <w:rFonts w:ascii="Times/Kazakh" w:eastAsia="Times New Roman" w:hAnsi="Times/Kazakh" w:cs="Times New Roman"/>
      <w:sz w:val="28"/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3A21F5"/>
    <w:rPr>
      <w:rFonts w:ascii="Times/Kazakh" w:eastAsia="Times New Roman" w:hAnsi="Times/Kazakh" w:cs="Times New Roman"/>
      <w:sz w:val="28"/>
      <w:szCs w:val="20"/>
      <w:lang w:eastAsia="ko-KR"/>
    </w:rPr>
  </w:style>
  <w:style w:type="paragraph" w:styleId="a4">
    <w:name w:val="No Spacing"/>
    <w:uiPriority w:val="1"/>
    <w:qFormat/>
    <w:rsid w:val="00B85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Гулмира Рахымбай</dc:creator>
  <cp:keywords/>
  <dc:description/>
  <cp:lastModifiedBy>Минажева Гулшарат</cp:lastModifiedBy>
  <cp:revision>5</cp:revision>
  <dcterms:created xsi:type="dcterms:W3CDTF">2020-10-29T06:19:00Z</dcterms:created>
  <dcterms:modified xsi:type="dcterms:W3CDTF">2020-10-29T06:34:00Z</dcterms:modified>
</cp:coreProperties>
</file>